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22" w:rsidRPr="00A91022" w:rsidRDefault="00A91022" w:rsidP="00A91022">
      <w:pPr>
        <w:shd w:val="clear" w:color="auto" w:fill="F9FBFB"/>
        <w:spacing w:after="360" w:line="240" w:lineRule="auto"/>
        <w:textAlignment w:val="baseline"/>
        <w:outlineLvl w:val="1"/>
        <w:rPr>
          <w:rFonts w:ascii="Times New Roman" w:eastAsia="Times New Roman" w:hAnsi="Times New Roman"/>
          <w:color w:val="365D8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365D84"/>
          <w:sz w:val="28"/>
          <w:szCs w:val="28"/>
          <w:lang w:eastAsia="ru-RU"/>
        </w:rPr>
        <w:t>Правила приема</w:t>
      </w:r>
    </w:p>
    <w:p w:rsidR="00A91022" w:rsidRPr="00A91022" w:rsidRDefault="00A91022" w:rsidP="00A91022">
      <w:pPr>
        <w:shd w:val="clear" w:color="auto" w:fill="F9FBFB"/>
        <w:spacing w:after="300" w:line="240" w:lineRule="auto"/>
        <w:jc w:val="center"/>
        <w:textAlignment w:val="baseline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ПРАВИЛА</w:t>
      </w:r>
    </w:p>
    <w:p w:rsidR="00A91022" w:rsidRPr="00A91022" w:rsidRDefault="00A91022" w:rsidP="00A91022">
      <w:pPr>
        <w:shd w:val="clear" w:color="auto" w:fill="F9FBFB"/>
        <w:spacing w:after="300" w:line="240" w:lineRule="auto"/>
        <w:jc w:val="center"/>
        <w:textAlignment w:val="baseline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 xml:space="preserve">ПРИЕМА НА </w:t>
      </w:r>
      <w:proofErr w:type="gramStart"/>
      <w:r w:rsidRPr="00A91022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ОБУЧЕНИЕ ПО</w:t>
      </w:r>
      <w:proofErr w:type="gramEnd"/>
      <w:r w:rsidRPr="00A91022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 xml:space="preserve"> ОБРАЗОВАТЕЛЬНЫМ ПРОГРАММАМ СРЕДНЕГО</w:t>
      </w:r>
    </w:p>
    <w:p w:rsidR="00A91022" w:rsidRPr="00A91022" w:rsidRDefault="00A91022" w:rsidP="00A91022">
      <w:pPr>
        <w:shd w:val="clear" w:color="auto" w:fill="F9FBFB"/>
        <w:spacing w:after="300" w:line="240" w:lineRule="auto"/>
        <w:jc w:val="center"/>
        <w:textAlignment w:val="baseline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ПРОФЕССИОНАЛЬНОГО ОБРАЗОВАНИЯ В БГТУ им. В.Г. Шухова</w:t>
      </w:r>
    </w:p>
    <w:p w:rsidR="00A91022" w:rsidRPr="00A91022" w:rsidRDefault="00A91022" w:rsidP="00A91022">
      <w:pPr>
        <w:shd w:val="clear" w:color="auto" w:fill="F9FBFB"/>
        <w:spacing w:after="300" w:line="240" w:lineRule="auto"/>
        <w:jc w:val="center"/>
        <w:textAlignment w:val="baseline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(ФИЛИАЛЫ УНИВЕРСИТЕТА)</w:t>
      </w:r>
    </w:p>
    <w:p w:rsidR="00A91022" w:rsidRPr="00A91022" w:rsidRDefault="00A91022" w:rsidP="00A91022">
      <w:pPr>
        <w:shd w:val="clear" w:color="auto" w:fill="F9FBFB"/>
        <w:spacing w:after="300" w:line="240" w:lineRule="auto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A91022" w:rsidRPr="00A91022" w:rsidRDefault="00A91022" w:rsidP="00A91022">
      <w:pPr>
        <w:shd w:val="clear" w:color="auto" w:fill="F9FBFB"/>
        <w:spacing w:after="300" w:line="240" w:lineRule="auto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I. Общие положения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1.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Настоящие Правила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В.Г. Шухова» (далее Университет) включая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филиалы Университета (далее Филиалы), осуществляющих образовательную деятельность по образовательным программам среднего профессионального образования (далее – Университет, БГТУ, филиал Университета), за счет бюджетных ассигнований федерального бюджета,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ограниченными возможностями здоровья.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Прием иностранных граждан на обучение в Университет (филиал Университета) осуществляется за счет бюджетных ассигнований федерального бюджета,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2. Университет (филиал Университета) не реализует по основные профессиональные образовательные программы в интересах обороны и безопасности государства, обеспечения законности и правопорядка.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3. Правила приема устанавливаются в части, не урегулированной законодательством об образовании, самостоятельно. Правила распространяются и на филиалы Университета:</w:t>
      </w:r>
    </w:p>
    <w:p w:rsidR="00A91022" w:rsidRPr="00A91022" w:rsidRDefault="00A91022" w:rsidP="00A91022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Филиал федерального государственного бюджетного образовательного учреждения высшего образования "Белгородский государственный технологический университет им. В.Г. Шухова" в г. Новороссийске (НФ).</w:t>
      </w:r>
    </w:p>
    <w:p w:rsidR="00A91022" w:rsidRPr="00A91022" w:rsidRDefault="00A91022" w:rsidP="00A91022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Губкинский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филиал федерального государственного бюджетного образовательного учреждения высшего образования «Белгородский государственный технологический университет им. В.Г. Шухова» (ГФ).</w:t>
      </w:r>
    </w:p>
    <w:p w:rsidR="00A91022" w:rsidRPr="00A91022" w:rsidRDefault="00A91022" w:rsidP="00A91022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Северо-Кавказский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филиал федерального государственного бюджетного образовательного учреждения высшего образования "Белгородский государственный технологический университет им. В.Г.Шухова" (г. Минеральные Воды) (далее филиалы, вместе с БГТУ им. В.Г. Шухова, Университет).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4. Прием в Университет (филиал Университета) лиц для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обучения по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 </w:t>
      </w:r>
      <w:hyperlink r:id="rId5" w:tooltip="Федеральный закон от 29.12.2012 N 273-ФЗ (ред. от 28.12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законом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от 29 декабря 2012 г. N 273-ФЗ "Об образовании в Российской Федерации".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5. Прием на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обучение по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образовательным программам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 </w:t>
      </w:r>
      <w:hyperlink r:id="rId6" w:tooltip="Федеральный закон от 29.12.2012 N 273-ФЗ (ред. от 28.12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частью 4 статьи 68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Федерального закона "Об образовании в Российской Федерации".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6. Университет (филиал Университета)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0" w:name="sub_1007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7. Организацию приема на обучение в филиалах осуществляет приемная комиссия Университета в порядке, определяемом Положением о приемной комиссии.</w:t>
      </w:r>
      <w:bookmarkEnd w:id="0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8. Условиями приема на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обучение по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A91022" w:rsidRPr="00A91022" w:rsidRDefault="00A91022" w:rsidP="00A91022">
      <w:pPr>
        <w:shd w:val="clear" w:color="auto" w:fill="F9FBFB"/>
        <w:spacing w:after="300" w:line="240" w:lineRule="auto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II. Организация приема в образовательную организацию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9. Организация приема на обучение по образовательным программам осуществляется приемной комиссией Университета, в филиалах – приемными комиссиями филиалов в порядке, определяемом настоящими Правилами приема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алее - приемная комиссия).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Председателем приемной комиссии является ректор.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10. Состав, полномочия и порядок деятельности приемной комиссии регламентируются положением о ней, утверждаемым Ректором Университета.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11.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ректором.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12.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13. При приеме в Университет (филиал Университета)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A91022" w:rsidRPr="00A91022" w:rsidRDefault="00A91022" w:rsidP="00A91022">
      <w:pPr>
        <w:shd w:val="clear" w:color="auto" w:fill="F9FBFB"/>
        <w:spacing w:after="300" w:line="240" w:lineRule="auto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III. Организация информирования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поступающих</w:t>
      </w:r>
      <w:proofErr w:type="gramEnd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1" w:name="sub_1016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 xml:space="preserve">15. Университет (филиал Университета) объявляет прием на </w:t>
      </w:r>
      <w:proofErr w:type="gramStart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обучение по</w:t>
      </w:r>
      <w:proofErr w:type="gramEnd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 xml:space="preserve"> образовательным программам при наличии лицензии на осуществление </w:t>
      </w:r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образовательной деятельности по этим образовательным программам. Настоящее требование не распространяется на организации, осуществляющие свою деятельность на территориях инновационных научно-технологических центров.</w:t>
      </w:r>
      <w:bookmarkEnd w:id="1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Прием для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обучения по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образовательным программам осуществляется по следующим направлениям:</w:t>
      </w:r>
    </w:p>
    <w:p w:rsidR="00A91022" w:rsidRPr="00A91022" w:rsidRDefault="00A91022" w:rsidP="00A91022">
      <w:pPr>
        <w:numPr>
          <w:ilvl w:val="0"/>
          <w:numId w:val="3"/>
        </w:numPr>
        <w:shd w:val="clear" w:color="auto" w:fill="F9FBFB"/>
        <w:spacing w:after="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2" w:name="_Hlk191374390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в филиале федерального государственного бюджетного образовательного учреждения высшего образования «Белгородский государственный технологический университет им. В.Г. Шухова» в г. Новороссийске (НФ)</w:t>
      </w:r>
      <w:bookmarkEnd w:id="2"/>
    </w:p>
    <w:tbl>
      <w:tblPr>
        <w:tblW w:w="10200" w:type="dxa"/>
        <w:shd w:val="clear" w:color="auto" w:fill="F9FBFB"/>
        <w:tblCellMar>
          <w:left w:w="0" w:type="dxa"/>
          <w:right w:w="0" w:type="dxa"/>
        </w:tblCellMar>
        <w:tblLook w:val="04A0"/>
      </w:tblPr>
      <w:tblGrid>
        <w:gridCol w:w="4245"/>
        <w:gridCol w:w="5955"/>
      </w:tblGrid>
      <w:tr w:rsidR="00A91022" w:rsidRPr="00A91022" w:rsidTr="00A91022">
        <w:trPr>
          <w:trHeight w:val="31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bookmarkStart w:id="3" w:name="_Hlk191374427"/>
            <w:r w:rsidRPr="00A91022">
              <w:rPr>
                <w:rFonts w:ascii="Times New Roman" w:eastAsia="Times New Roman" w:hAnsi="Times New Roman"/>
                <w:b/>
                <w:bCs/>
                <w:color w:val="365D84"/>
                <w:sz w:val="28"/>
                <w:szCs w:val="28"/>
                <w:u w:val="single"/>
                <w:lang w:eastAsia="ru-RU"/>
              </w:rPr>
              <w:t>Специальность</w:t>
            </w:r>
            <w:bookmarkEnd w:id="3"/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Наименование образовательной программы</w:t>
            </w:r>
          </w:p>
        </w:tc>
      </w:tr>
      <w:tr w:rsidR="00A91022" w:rsidRPr="00A91022" w:rsidTr="00A91022">
        <w:trPr>
          <w:trHeight w:val="315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На базе основного общего образования</w:t>
            </w:r>
          </w:p>
        </w:tc>
      </w:tr>
      <w:tr w:rsidR="00A91022" w:rsidRPr="00A91022" w:rsidTr="00A91022">
        <w:trPr>
          <w:trHeight w:val="31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09.02.07 – Информационные системы и программирование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Информационные системы и программирование</w:t>
            </w:r>
          </w:p>
        </w:tc>
      </w:tr>
      <w:tr w:rsidR="00A91022" w:rsidRPr="00A91022" w:rsidTr="00A91022">
        <w:trPr>
          <w:trHeight w:val="31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38.02.03 – Операционная деятельность в логистике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Операционная деятельность в логистике</w:t>
            </w:r>
          </w:p>
        </w:tc>
      </w:tr>
      <w:tr w:rsidR="00A91022" w:rsidRPr="00A91022" w:rsidTr="00A91022">
        <w:trPr>
          <w:trHeight w:val="31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43.02.06 – Сервис на транспорте (по видам транспорта)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Сервис на транспорте (по видам транспорта)</w:t>
            </w:r>
          </w:p>
        </w:tc>
      </w:tr>
    </w:tbl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16.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Университет (филиал Университета) обязан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4" w:name="sub_1017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 xml:space="preserve">17. </w:t>
      </w:r>
      <w:proofErr w:type="gramStart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В целях информирования о приеме на обучение Университет размещает информацию на официальном сайте организации в информационно-телекоммуникационной сети "Интернет" (далее - официальный сайт) https://www.bstu.ru/, иными способами с использованием информационно-телекоммуникационной сети "Интернет", а также обеспечивает свободный доступ в здание Университета (филиала)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</w:t>
      </w:r>
      <w:proofErr w:type="gramEnd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).</w:t>
      </w:r>
      <w:bookmarkEnd w:id="4"/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5" w:name="sub_1018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18. </w:t>
      </w:r>
      <w:bookmarkEnd w:id="5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Приемная комиссия на официальном сайте https://www.bstu.ru/ и информационном стенде до начала приема документов размещает следующую информацию: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18.1. </w:t>
      </w:r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u w:val="single"/>
          <w:lang w:eastAsia="ru-RU"/>
        </w:rPr>
        <w:t>Не позднее 1 марта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:</w:t>
      </w:r>
    </w:p>
    <w:p w:rsidR="00A91022" w:rsidRPr="00A91022" w:rsidRDefault="00A91022" w:rsidP="00A91022">
      <w:pPr>
        <w:numPr>
          <w:ilvl w:val="0"/>
          <w:numId w:val="6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правила приема;</w:t>
      </w:r>
    </w:p>
    <w:p w:rsidR="00A91022" w:rsidRPr="00A91022" w:rsidRDefault="00A91022" w:rsidP="00A91022">
      <w:pPr>
        <w:numPr>
          <w:ilvl w:val="0"/>
          <w:numId w:val="6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условия приема на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обучение по договорам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 оказании платных образовательных услуг;</w:t>
      </w:r>
    </w:p>
    <w:p w:rsidR="00A91022" w:rsidRPr="00A91022" w:rsidRDefault="00A91022" w:rsidP="00A91022">
      <w:pPr>
        <w:numPr>
          <w:ilvl w:val="0"/>
          <w:numId w:val="6"/>
        </w:numPr>
        <w:shd w:val="clear" w:color="auto" w:fill="F9FBFB"/>
        <w:spacing w:after="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6" w:name="sub_101814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перечень специальностей (профессий), по которым Университет (филиал Университета) объявляет прием в соответствии с лицензией на осуществление образовательной деятельности (с указанием форм обучения (</w:t>
      </w:r>
      <w:proofErr w:type="gramStart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очная</w:t>
      </w:r>
      <w:proofErr w:type="gramEnd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очно-заочная</w:t>
      </w:r>
      <w:proofErr w:type="spellEnd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, заочная);</w:t>
      </w:r>
      <w:bookmarkEnd w:id="6"/>
    </w:p>
    <w:p w:rsidR="00A91022" w:rsidRPr="00A91022" w:rsidRDefault="00A91022" w:rsidP="00A91022">
      <w:pPr>
        <w:numPr>
          <w:ilvl w:val="0"/>
          <w:numId w:val="6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A91022" w:rsidRPr="00A91022" w:rsidRDefault="00A91022" w:rsidP="00A91022">
      <w:pPr>
        <w:numPr>
          <w:ilvl w:val="0"/>
          <w:numId w:val="6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перечень вступительных испытаний;</w:t>
      </w:r>
    </w:p>
    <w:p w:rsidR="00A91022" w:rsidRPr="00A91022" w:rsidRDefault="00A91022" w:rsidP="00A91022">
      <w:pPr>
        <w:numPr>
          <w:ilvl w:val="0"/>
          <w:numId w:val="6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информацию о формах проведения вступительных испытаний;</w:t>
      </w:r>
    </w:p>
    <w:p w:rsidR="00A91022" w:rsidRPr="00A91022" w:rsidRDefault="00A91022" w:rsidP="00A91022">
      <w:pPr>
        <w:numPr>
          <w:ilvl w:val="0"/>
          <w:numId w:val="6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A91022" w:rsidRPr="00A91022" w:rsidRDefault="00A91022" w:rsidP="00A91022">
      <w:pPr>
        <w:numPr>
          <w:ilvl w:val="0"/>
          <w:numId w:val="6"/>
        </w:numPr>
        <w:shd w:val="clear" w:color="auto" w:fill="F9FBFB"/>
        <w:spacing w:after="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7" w:name="sub_101819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 xml:space="preserve">информацию о необходимости (отсутствии необходимости) прохождения </w:t>
      </w:r>
      <w:proofErr w:type="gramStart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поступающими</w:t>
      </w:r>
      <w:proofErr w:type="gramEnd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 xml:space="preserve"> обязательного предварительного медицинского осмотра (обследования);</w:t>
      </w:r>
      <w:bookmarkEnd w:id="7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18.2. Не позднее 1 июня:</w:t>
      </w:r>
    </w:p>
    <w:p w:rsidR="00A91022" w:rsidRPr="00A91022" w:rsidRDefault="00A91022" w:rsidP="00A91022">
      <w:pPr>
        <w:numPr>
          <w:ilvl w:val="0"/>
          <w:numId w:val="7"/>
        </w:numPr>
        <w:shd w:val="clear" w:color="auto" w:fill="F9FBFB"/>
        <w:spacing w:after="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8" w:name="sub_101822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общее количество мест для приема по каждой специальности (профессии), в том числе по различным формам обучения;</w:t>
      </w:r>
      <w:bookmarkEnd w:id="8"/>
    </w:p>
    <w:p w:rsidR="00A91022" w:rsidRPr="00A91022" w:rsidRDefault="00A91022" w:rsidP="00A91022">
      <w:pPr>
        <w:numPr>
          <w:ilvl w:val="0"/>
          <w:numId w:val="7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:rsidR="00A91022" w:rsidRPr="00A91022" w:rsidRDefault="00A91022" w:rsidP="00A91022">
      <w:pPr>
        <w:numPr>
          <w:ilvl w:val="0"/>
          <w:numId w:val="7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:rsidR="00A91022" w:rsidRPr="00A91022" w:rsidRDefault="00A91022" w:rsidP="00A91022">
      <w:pPr>
        <w:numPr>
          <w:ilvl w:val="0"/>
          <w:numId w:val="7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правила подачи и рассмотрения апелляций по результатам вступительных испытаний;</w:t>
      </w:r>
    </w:p>
    <w:p w:rsidR="00A91022" w:rsidRPr="00A91022" w:rsidRDefault="00A91022" w:rsidP="00A91022">
      <w:pPr>
        <w:numPr>
          <w:ilvl w:val="0"/>
          <w:numId w:val="7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информацию о наличии общежития и количестве мест в общежитиях, выделяемых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для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иногородних поступающих;</w:t>
      </w:r>
    </w:p>
    <w:p w:rsidR="00A91022" w:rsidRPr="00A91022" w:rsidRDefault="00A91022" w:rsidP="00A91022">
      <w:pPr>
        <w:numPr>
          <w:ilvl w:val="0"/>
          <w:numId w:val="7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образец договора об оказании платных образовательных услуг.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19. В период приема документов приемная комиссия ежедневно размещает на официальном сайте </w:t>
      </w:r>
      <w:hyperlink r:id="rId7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https://www.bstu.ru/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 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 (очная,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очно-заочная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 заочная).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Приемная комиссия Университета обеспечивает функционирование специальных телефонных линий и раздела на официальном сайте </w:t>
      </w:r>
      <w:hyperlink r:id="rId8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https://www.bstu.ru/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для ответов на обращения, связанные с приемом в Университет (филиал Университета).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IV. Прием документов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от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поступающих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9" w:name="Par123"/>
      <w:bookmarkEnd w:id="9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20. Прием в Университет (филиал Университета) по образовательным программам проводится на первый курс по личному заявлению граждан.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Прием документов начинается не позднее 20 июня.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Прием заявлений в образовательные организации на очную форму обучения осуществляется до 15 августа 2025 года, а при наличии свободных мест в Университете (филиале Университета) прием документов продлевается до 25 ноября текущего года.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Прием заявлений у лиц, поступающих для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обучения по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 (</w:t>
      </w:r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07.02.01 – Архитектура)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 физических и (или) психологических качеств, осуществляется до 10 августа.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10" w:name="Par130"/>
      <w:bookmarkEnd w:id="10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21. При подаче заявления (на русском языке) о приеме в Университет (филиал Университета) поступающий предъявляет следующие документы: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11" w:name="Par131"/>
      <w:bookmarkEnd w:id="11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21.1. Граждане Российской Федерации:</w:t>
      </w:r>
    </w:p>
    <w:p w:rsidR="00A91022" w:rsidRPr="00A91022" w:rsidRDefault="00A91022" w:rsidP="00A91022">
      <w:pPr>
        <w:numPr>
          <w:ilvl w:val="0"/>
          <w:numId w:val="8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(функций)";</w:t>
      </w:r>
    </w:p>
    <w:p w:rsidR="00A91022" w:rsidRPr="00A91022" w:rsidRDefault="00A91022" w:rsidP="00A91022">
      <w:pPr>
        <w:numPr>
          <w:ilvl w:val="0"/>
          <w:numId w:val="8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ЕПГУ;</w:t>
      </w:r>
    </w:p>
    <w:p w:rsidR="00A91022" w:rsidRPr="00A91022" w:rsidRDefault="00A91022" w:rsidP="00A91022">
      <w:pPr>
        <w:numPr>
          <w:ilvl w:val="0"/>
          <w:numId w:val="8"/>
        </w:numPr>
        <w:shd w:val="clear" w:color="auto" w:fill="F9FBFB"/>
        <w:spacing w:after="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оригинал или копию документа, подтверждающего право преимущественного или первоочередного приема в соответствии с </w:t>
      </w:r>
      <w:hyperlink r:id="rId9" w:tooltip="Федеральный закон от 29.12.2012 N 273-ФЗ (ред. от 28.12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частью 4 статьи 68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Федерального закона "Об образовании в Российской Федерации", кроме случаев подачи заявления с использованием функционала ЕПГУ;</w:t>
      </w:r>
    </w:p>
    <w:p w:rsidR="00A91022" w:rsidRPr="00A91022" w:rsidRDefault="00A91022" w:rsidP="00A91022">
      <w:pPr>
        <w:numPr>
          <w:ilvl w:val="0"/>
          <w:numId w:val="8"/>
        </w:numPr>
        <w:shd w:val="clear" w:color="auto" w:fill="F9FBFB"/>
        <w:spacing w:after="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государственных и муниципальных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услуг, копию документа, подтверждающего право преимущественного или первоочередного приема в соответствии с </w:t>
      </w:r>
      <w:hyperlink r:id="rId10" w:tooltip="Федеральный закон от 29.12.2012 N 273-ФЗ (ред. от 28.12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частью 4 статьи 68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Федерального закона "Об образовании в Российской Федерации";</w:t>
      </w:r>
    </w:p>
    <w:p w:rsidR="00A91022" w:rsidRPr="00A91022" w:rsidRDefault="00A91022" w:rsidP="00A91022">
      <w:pPr>
        <w:numPr>
          <w:ilvl w:val="0"/>
          <w:numId w:val="8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 фотографии, кроме случаев подачи заявления с использованием функционала ЕПГУ.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21.2. Иностранные граждане, лица без гражданства, в том числе соотечественники, проживающие за рубежом:</w:t>
      </w:r>
    </w:p>
    <w:p w:rsidR="00A91022" w:rsidRPr="00A91022" w:rsidRDefault="00A91022" w:rsidP="00A91022">
      <w:pPr>
        <w:numPr>
          <w:ilvl w:val="0"/>
          <w:numId w:val="9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A91022" w:rsidRPr="00A91022" w:rsidRDefault="00A91022" w:rsidP="00A91022">
      <w:pPr>
        <w:numPr>
          <w:ilvl w:val="0"/>
          <w:numId w:val="9"/>
        </w:numPr>
        <w:shd w:val="clear" w:color="auto" w:fill="F9FBFB"/>
        <w:spacing w:after="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 </w:t>
      </w:r>
      <w:hyperlink r:id="rId11" w:tooltip="Федеральный закон от 29.12.2012 N 273-ФЗ (ред. от 28.12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статьей 107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Федерального закона "Об образовании в Российской Федерации" (в случае, установленном Федеральным </w:t>
      </w:r>
      <w:hyperlink r:id="rId12" w:tooltip="Федеральный закон от 29.12.2012 N 273-ФЗ (ред. от 28.12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законом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"Об образовании в Российской Федерации", - также свидетельство о признании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иностранного образования);</w:t>
      </w:r>
    </w:p>
    <w:p w:rsidR="00A91022" w:rsidRPr="00A91022" w:rsidRDefault="00A91022" w:rsidP="00A91022">
      <w:pPr>
        <w:numPr>
          <w:ilvl w:val="0"/>
          <w:numId w:val="9"/>
        </w:numPr>
        <w:shd w:val="clear" w:color="auto" w:fill="F9FBFB"/>
        <w:spacing w:after="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оригинал или копию документа, подтверждающего право преимущественного или первоочередного приема в соответствии с </w:t>
      </w:r>
      <w:hyperlink r:id="rId13" w:tooltip="Федеральный закон от 29.12.2012 N 273-ФЗ (ред. от 28.12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частью 4 статьи 68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Федерального закона "Об образовании в Российской Федерации";</w:t>
      </w:r>
    </w:p>
    <w:p w:rsidR="00A91022" w:rsidRPr="00A91022" w:rsidRDefault="00A91022" w:rsidP="00A91022">
      <w:pPr>
        <w:numPr>
          <w:ilvl w:val="0"/>
          <w:numId w:val="9"/>
        </w:numPr>
        <w:shd w:val="clear" w:color="auto" w:fill="F9FBFB"/>
        <w:spacing w:after="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заверенный в порядке, установленном </w:t>
      </w:r>
      <w:hyperlink r:id="rId14" w:tooltip="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статьей 81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Основ законодательства Российской Федерации о нотариате от 11 февраля 1993 г. N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A91022" w:rsidRPr="00A91022" w:rsidRDefault="00A91022" w:rsidP="00A91022">
      <w:pPr>
        <w:numPr>
          <w:ilvl w:val="0"/>
          <w:numId w:val="9"/>
        </w:numPr>
        <w:shd w:val="clear" w:color="auto" w:fill="F9FBFB"/>
        <w:spacing w:after="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 </w:t>
      </w:r>
      <w:hyperlink r:id="rId15" w:tooltip="Федеральный закон от 24.05.1999 N 99-ФЗ (ред. от 08.08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пунктом 6 статьи 17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Федерального закона от 24 мая 1999 г. N 99-ФЗ "О государственной политике Российской Федерации в отношении соотечественников за рубежом";</w:t>
      </w:r>
    </w:p>
    <w:p w:rsidR="00A91022" w:rsidRPr="00A91022" w:rsidRDefault="00A91022" w:rsidP="00A91022">
      <w:pPr>
        <w:numPr>
          <w:ilvl w:val="0"/>
          <w:numId w:val="9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 фотографии.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указанным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в документе, удостоверяющем личность иностранного гражданина в Российской Федерации;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12" w:name="Par157"/>
      <w:bookmarkEnd w:id="12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21.3. При необходимости создания специальных условий при проведении вступительных испытаний инвалиды и лица с ограниченными 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21.4. Поступающие помимо документов, указанных в </w:t>
      </w:r>
      <w:hyperlink r:id="rId16" w:anchor="Par131" w:tooltip="21.1. Граждане Российской Федерации: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пунктах 21.1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- </w:t>
      </w:r>
      <w:hyperlink r:id="rId17" w:anchor="Par157" w:tooltip="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21.3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настоящего Порядка,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21.5. При личном представлении оригиналов документов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поступающим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допускается заверение их копий образовательной организацией.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22. В заявлении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поступающим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указываются следующие обязательные сведения:</w:t>
      </w:r>
    </w:p>
    <w:p w:rsidR="00A91022" w:rsidRPr="00A91022" w:rsidRDefault="00A91022" w:rsidP="00A91022">
      <w:pPr>
        <w:numPr>
          <w:ilvl w:val="0"/>
          <w:numId w:val="10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фамилия, имя и отчество (последнее - при наличии);</w:t>
      </w:r>
    </w:p>
    <w:p w:rsidR="00A91022" w:rsidRPr="00A91022" w:rsidRDefault="00A91022" w:rsidP="00A91022">
      <w:pPr>
        <w:numPr>
          <w:ilvl w:val="0"/>
          <w:numId w:val="10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дата рождения;</w:t>
      </w:r>
    </w:p>
    <w:p w:rsidR="00A91022" w:rsidRPr="00A91022" w:rsidRDefault="00A91022" w:rsidP="00A91022">
      <w:pPr>
        <w:numPr>
          <w:ilvl w:val="0"/>
          <w:numId w:val="10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реквизиты документа, удостоверяющего его личность, когда и кем выдан;</w:t>
      </w:r>
    </w:p>
    <w:p w:rsidR="00A91022" w:rsidRPr="00A91022" w:rsidRDefault="00A91022" w:rsidP="00A91022">
      <w:pPr>
        <w:numPr>
          <w:ilvl w:val="0"/>
          <w:numId w:val="10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A91022" w:rsidRPr="00A91022" w:rsidRDefault="00A91022" w:rsidP="00A91022">
      <w:pPr>
        <w:numPr>
          <w:ilvl w:val="0"/>
          <w:numId w:val="10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A91022" w:rsidRPr="00A91022" w:rsidRDefault="00A91022" w:rsidP="00A91022">
      <w:pPr>
        <w:numPr>
          <w:ilvl w:val="0"/>
          <w:numId w:val="10"/>
        </w:numPr>
        <w:shd w:val="clear" w:color="auto" w:fill="F9FBFB"/>
        <w:spacing w:after="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отнесение к лицам, которым предоставлено право преимущественного или первоочередного приема в соответствии с </w:t>
      </w:r>
      <w:hyperlink r:id="rId18" w:tooltip="Федеральный закон от 29.12.2012 N 273-ФЗ (ред. от 28.12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частью 4 статьи 68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Федерального закона "Об образовании в Российской Федерации";</w:t>
      </w:r>
    </w:p>
    <w:p w:rsidR="00A91022" w:rsidRPr="00A91022" w:rsidRDefault="00A91022" w:rsidP="00A91022">
      <w:pPr>
        <w:numPr>
          <w:ilvl w:val="0"/>
          <w:numId w:val="10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специальность (специальности) или профессия (профессии), для обучения по которым он планирует поступать в образовательную организацию, с указанием условий обучения и формы обучения (в рамках контрольных цифр приема, мест по договорам об оказании платных образовательных услуг);</w:t>
      </w:r>
    </w:p>
    <w:p w:rsidR="00A91022" w:rsidRPr="00A91022" w:rsidRDefault="00A91022" w:rsidP="00A91022">
      <w:pPr>
        <w:numPr>
          <w:ilvl w:val="0"/>
          <w:numId w:val="10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нуждаемость в предоставлении общежития;</w:t>
      </w:r>
    </w:p>
    <w:p w:rsidR="00A91022" w:rsidRPr="00A91022" w:rsidRDefault="00A91022" w:rsidP="00A91022">
      <w:pPr>
        <w:numPr>
          <w:ilvl w:val="0"/>
          <w:numId w:val="10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 xml:space="preserve">Подписью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поступающего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заверяется также следующее:</w:t>
      </w:r>
    </w:p>
    <w:p w:rsidR="00A91022" w:rsidRPr="00A91022" w:rsidRDefault="00A91022" w:rsidP="00A91022">
      <w:pPr>
        <w:numPr>
          <w:ilvl w:val="0"/>
          <w:numId w:val="11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согласие на обработку полученных в связи с приемом в Университет (филиал Университета) персональных данных поступающих;</w:t>
      </w:r>
    </w:p>
    <w:p w:rsidR="00A91022" w:rsidRPr="00A91022" w:rsidRDefault="00A91022" w:rsidP="00A91022">
      <w:pPr>
        <w:numPr>
          <w:ilvl w:val="0"/>
          <w:numId w:val="11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факт получения среднего профессионального образования впервые;</w:t>
      </w:r>
    </w:p>
    <w:p w:rsidR="00A91022" w:rsidRPr="00A91022" w:rsidRDefault="00A91022" w:rsidP="00A91022">
      <w:pPr>
        <w:numPr>
          <w:ilvl w:val="0"/>
          <w:numId w:val="11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ознакомление с уставом образовательной организации,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;</w:t>
      </w:r>
    </w:p>
    <w:p w:rsidR="00A91022" w:rsidRPr="00A91022" w:rsidRDefault="00A91022" w:rsidP="00A91022">
      <w:pPr>
        <w:numPr>
          <w:ilvl w:val="0"/>
          <w:numId w:val="11"/>
        </w:numPr>
        <w:shd w:val="clear" w:color="auto" w:fill="F9FBFB"/>
        <w:spacing w:after="120" w:line="240" w:lineRule="auto"/>
        <w:ind w:left="210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Приемная комиссия возвращает документы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поступающему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23. При поступлении на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обучение по специальностям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 входящим в </w:t>
      </w:r>
      <w:hyperlink r:id="rId19" w:tooltip="Постановление Правительства РФ от 14.08.2013 N 697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24. Поступающие вправе направить/представить в Университет (филиал Университета) заявление о приеме, а также необходимые документы одним из следующих способов:</w:t>
        </w:r>
      </w:hyperlink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hyperlink r:id="rId20" w:tooltip="Постановление Правительства РФ от 14.08.2013 N 697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2) </w:t>
        </w:r>
        <w:r w:rsidRPr="00A91022">
          <w:rPr>
            <w:rFonts w:ascii="Times New Roman" w:eastAsia="Times New Roman" w:hAnsi="Times New Roman"/>
            <w:b/>
            <w:bCs/>
            <w:color w:val="365D84"/>
            <w:sz w:val="28"/>
            <w:szCs w:val="28"/>
            <w:u w:val="single"/>
            <w:lang w:eastAsia="ru-RU"/>
          </w:rPr>
          <w:t>через операторов почтовой связи общего пользования</w:t>
        </w:r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 (далее - по почте) заказным письмом с уведомлением о вручении на адрес приемной комиссии: </w:t>
        </w:r>
        <w:r w:rsidRPr="00A91022">
          <w:rPr>
            <w:rFonts w:ascii="Times New Roman" w:eastAsia="Times New Roman" w:hAnsi="Times New Roman"/>
            <w:b/>
            <w:bCs/>
            <w:color w:val="365D84"/>
            <w:sz w:val="28"/>
            <w:szCs w:val="28"/>
            <w:u w:val="single"/>
            <w:lang w:eastAsia="ru-RU"/>
          </w:rPr>
          <w:t xml:space="preserve">308015, г. Белгород, ул. </w:t>
        </w:r>
        <w:proofErr w:type="spellStart"/>
        <w:r w:rsidRPr="00A91022">
          <w:rPr>
            <w:rFonts w:ascii="Times New Roman" w:eastAsia="Times New Roman" w:hAnsi="Times New Roman"/>
            <w:b/>
            <w:bCs/>
            <w:color w:val="365D84"/>
            <w:sz w:val="28"/>
            <w:szCs w:val="28"/>
            <w:u w:val="single"/>
            <w:lang w:eastAsia="ru-RU"/>
          </w:rPr>
          <w:t>Костюкова</w:t>
        </w:r>
        <w:proofErr w:type="spellEnd"/>
        <w:r w:rsidRPr="00A91022">
          <w:rPr>
            <w:rFonts w:ascii="Times New Roman" w:eastAsia="Times New Roman" w:hAnsi="Times New Roman"/>
            <w:b/>
            <w:bCs/>
            <w:color w:val="365D84"/>
            <w:sz w:val="28"/>
            <w:szCs w:val="28"/>
            <w:u w:val="single"/>
            <w:lang w:eastAsia="ru-RU"/>
          </w:rPr>
          <w:t>, 46.</w:t>
        </w:r>
      </w:hyperlink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hyperlink r:id="rId21" w:tooltip="Постановление Правительства РФ от 14.08.2013 N 697 " w:history="1">
        <w:proofErr w:type="gramStart"/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3) </w:t>
        </w:r>
        <w:r w:rsidRPr="00A91022">
          <w:rPr>
            <w:rFonts w:ascii="Times New Roman" w:eastAsia="Times New Roman" w:hAnsi="Times New Roman"/>
            <w:b/>
            <w:bCs/>
            <w:color w:val="365D84"/>
            <w:sz w:val="28"/>
            <w:szCs w:val="28"/>
            <w:u w:val="single"/>
            <w:lang w:eastAsia="ru-RU"/>
          </w:rPr>
          <w:t>в электронной форме</w:t>
        </w:r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 в соответствии с Федеральным </w:t>
        </w:r>
      </w:hyperlink>
      <w:hyperlink r:id="rId22" w:tooltip="Федеральный закон от 06.04.2011 N 63-ФЗ (ред. от 28.12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законом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от 6 апреля 2011 г. N 63-ФЗ "Об электронной подписи", Федеральным </w:t>
      </w:r>
      <w:hyperlink r:id="rId23" w:tooltip="Федеральный закон от 27.07.2006 N 149-ФЗ (ред. от 23.11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законом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от 27 июля 2006 г. N 149-ФЗ "Об информации, информационных технологиях и о защите информации", Федеральным </w:t>
      </w:r>
      <w:hyperlink r:id="rId24" w:tooltip="Федеральный закон от 07.07.2003 N 126-ФЗ (ред. от 26.12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законом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от 7 июля 2003 г. N 126-ФЗ "О связи" (документ на бумажном носителе, преобразованный в электронную форму путем сканирования или фотографирования с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обеспечением машиночитаемого распознавания его реквизитов):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посредством электронной почты образовательной организации: </w:t>
      </w:r>
      <w:hyperlink r:id="rId25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pr_bgtu@mail.ru</w:t>
        </w:r>
      </w:hyperlink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 направлении документов в электронной форме на адрес электронной почты Университета (филиала Университета), необходимых для поступления, поступающий оформляет документы в соответствии со следующими рекомендациями:</w:t>
      </w:r>
      <w:proofErr w:type="gramEnd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– скаченные с официального сайта Университета (филиала Университета) бланки заявления о приеме и согласия на обработку персональных данных необходимо распечатать, заполнить собственноручно, поставить личную подпись и дату заполнения;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– сформировать фай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л(</w:t>
      </w:r>
      <w:proofErr w:type="spellStart"/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ы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) с отсканированными с бумажных носителей образами документов: заполненное и подписанное заявление о приеме; заполненное и подписанное согласие на обработку персональных данных; документ, удостоверяющий личность (в случае паспорта гражданина РФ разворот с фотографией и регистрацией); документ об образовании и его приложение;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– медицинская справка (форма №086/У) (при необходимости); документы, подтверждающие результаты индивидуальных достижений (при наличии); договор о целевом обучении (при наличии).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Документы, содержащие несколько листов, сканируются в один файл. В имени файла должны содержаться следующие реквизиты: </w:t>
      </w:r>
      <w:proofErr w:type="spellStart"/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Фамилия_Инициалы_Название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документа (например: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Иванов_ИИ_Заявление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). 9 Сканирование образцов документов осуществляется с учетом следующих требований: формат изображений – .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jpg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или .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pdf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(в случае многостраничного документа); объем – до 20 Мб; тип изображения – цветное или черно-белое.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Обязательного нотариального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заверения копий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предоставляемых документов в электронной форме не требуется.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Поступающий направляет на указанный адрес электронной почты приемной комиссии электронное письмо.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В теме электронного письма указывается фамилия, имя и отчество поступающего полностью. Все указанные в п.21, 22 документы прикрепляются к электронному письму в виде отдельных файлов.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э</w:t>
      </w:r>
      <w:proofErr w:type="gramEnd"/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лектронной информационной системы Университета (филиала Университета)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Поступающему необходимо, следуя инструкции по заполнению формы, внести данные в соответствующие поля формы и прикрепить сканированные образцы документов, указанных в п. 21,22 настоящих правил.</w:t>
      </w:r>
      <w:proofErr w:type="gramEnd"/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с использованием функционала ЕПГУ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Университет (филиал Университета)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соответствующие 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государственные информационные системы, государственные (муниципальные) органы и организации.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Документы, направленные в Университет (филиал Университета) одним из перечисленных в настоящем пункте способов, принимаются не позднее сроков, установленных </w:t>
      </w:r>
      <w:hyperlink r:id="rId26" w:anchor="Par123" w:tooltip="20. Прием в образовательные организации по образовательным программам проводится на первый курс по личному заявлению граждан.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пунктом 20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настоящих Правил.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25. Не допускается взимание платы с поступающих при подаче документов, указанных в </w:t>
      </w:r>
      <w:hyperlink r:id="rId27" w:anchor="Par130" w:tooltip="21. При подаче заявления (на русском языке) о приеме в образовательные организации поступающий предъявляет следующие документы: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пункте 21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настоящих Правил.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26. На каждого поступающего заводится личное дело, в котором хранятся все сданные документы (копии документов), включая документы, представленные с использованием функционала ЕПГУ.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27.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Поступающему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при личном представлении документов выдается расписка о приеме документов.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28.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Приемной комиссией в течение следующего рабочего дня после подачи заявления.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A91022" w:rsidRPr="00A91022" w:rsidRDefault="00A91022" w:rsidP="00A91022">
      <w:pPr>
        <w:shd w:val="clear" w:color="auto" w:fill="F9FBFB"/>
        <w:spacing w:after="300" w:line="240" w:lineRule="auto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V. Вступительные испытания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29.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Федерации, проводятся вступительные испытания при приеме на обучение по следующим профессиям и специальностям среднего профессионального образования: 07.02.01 Архитектура.</w:t>
      </w:r>
      <w:proofErr w:type="gramEnd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30. Вступительные испытания проводятся в письменной форме.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32. Оценка результатов вступительных испытаний осуществляется по зачетной системе, включающей критерии оценивания, определяемой правилами приема.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обучения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 соответствующим образовательным программам.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13" w:name="sub_1033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33. Инвалиды и лица с ограниченными возможностями здоровья при поступлении в Университет (филиал Университета)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  <w:bookmarkEnd w:id="13"/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14" w:name="sub_1034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 xml:space="preserve">34. </w:t>
      </w:r>
      <w:proofErr w:type="gramStart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При проведении вступительных испытаний обеспечивается соблюдение следующих требований:</w:t>
      </w:r>
      <w:bookmarkEnd w:id="14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поступающим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предоставляется в печатном виде инструкция о порядке проведения вступительных испытаний;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категорий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поступающих с ограниченными возможностями здоровья: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15" w:name="sub_10341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а) для слепых:</w:t>
      </w:r>
      <w:bookmarkEnd w:id="15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задания для выполнения на вступительном испытании, а также инструкция о порядке проведения вступительных испытаний зачитываются ассистентом;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письменные задания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надиктовываются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ассистенту;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16" w:name="sub_10342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б) для слабовидящих:</w:t>
      </w:r>
      <w:bookmarkEnd w:id="16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поступающим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для выполнения задания при необходимости предоставляется увеличивающее устройство;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17" w:name="sub_10343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в) для глухих и слабослышащих:</w:t>
      </w:r>
      <w:bookmarkEnd w:id="17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наличие звукоусиливающей аппаратуры коллективного пользования, при необходимости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поступающим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предоставляется звукоусиливающая аппаратура индивидуального пользования;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18" w:name="sub_10344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  <w:bookmarkEnd w:id="18"/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19" w:name="sub_10345"/>
      <w:proofErr w:type="spellStart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spellEnd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  <w:bookmarkEnd w:id="19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надиктовываются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ассистенту;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по желанию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поступающих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все вступительные испытания могут проводиться в устной форме.</w:t>
      </w:r>
    </w:p>
    <w:p w:rsidR="00A91022" w:rsidRPr="00A91022" w:rsidRDefault="00A91022" w:rsidP="00A91022">
      <w:pPr>
        <w:shd w:val="clear" w:color="auto" w:fill="F9FBFB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VII. Общие правила подачи и рассмотрения апелляций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35. По результатам вступительного испытания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поступающий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36.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37. Апелляция подается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поступающим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лично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 на следующий день после объявления результата вступительного испытания. При этом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поступающий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имеет право ознакомиться со своей работой, выполненной в ходе вступительного испытания, в порядке, установленном университетом. </w:t>
      </w:r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Приемная комиссия обеспечивает прием апелляций в течение всего рабочего дня.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Рассмотрение апелляций проводится на следующей рабочий день после дня ознакомления с работами, выполненными в ходе вступительных испытаний.</w:t>
      </w:r>
      <w:proofErr w:type="gramEnd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38. В апелляционную комиссию при рассмотрении апелляций рекомендуется включать в качестве независимых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экспертов представителей органов исполнительной власти субъектов Российской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Федерации, осуществляющих государственное управление в сфере образования.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 xml:space="preserve">39.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Поступающий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40. С несовершеннолетним поступающим имеет право присутствовать один из родителей (законных представителей).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41.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42. После рассмотрения апелляции выносится решение апелляционной комиссии об оценке по вступительному испытанию.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Оформленное протоколом решение апелляционной комиссии доводится до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сведения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поступающего (под роспись).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outlineLvl w:val="0"/>
        <w:rPr>
          <w:rFonts w:ascii="Times New Roman" w:eastAsia="Times New Roman" w:hAnsi="Times New Roman"/>
          <w:color w:val="365D84"/>
          <w:kern w:val="36"/>
          <w:sz w:val="28"/>
          <w:szCs w:val="28"/>
          <w:lang w:eastAsia="ru-RU"/>
        </w:rPr>
      </w:pPr>
      <w:bookmarkStart w:id="20" w:name="sub_800"/>
      <w:r w:rsidRPr="00A91022">
        <w:rPr>
          <w:rFonts w:ascii="Times New Roman" w:eastAsia="Times New Roman" w:hAnsi="Times New Roman"/>
          <w:color w:val="365D84"/>
          <w:kern w:val="36"/>
          <w:sz w:val="28"/>
          <w:szCs w:val="28"/>
          <w:u w:val="single"/>
          <w:bdr w:val="none" w:sz="0" w:space="0" w:color="auto" w:frame="1"/>
          <w:lang w:eastAsia="ru-RU"/>
        </w:rPr>
        <w:t>VIII. Зачисление в Университет (филиал Университета)</w:t>
      </w:r>
      <w:bookmarkEnd w:id="20"/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21" w:name="sub_1043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43. Поступающий представляет оригинал документа об образовании и (или) документа об образовании и о квалификации в сроки, установленные Университетом (филиалом Университета).</w:t>
      </w:r>
      <w:bookmarkEnd w:id="21"/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43(1). В случае подачи заявления с использованием функционала </w:t>
      </w:r>
      <w:hyperlink r:id="rId28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ЕПГУ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поступающий подтверждает свое согласие на зачисление в Университет (филиал Университета) посредством функционала ЕПГУ в сроки, установленные Университет (филиал Университета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)е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 для представления оригинала документа об образовании и (или) документа об образовании и о квалификации.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44.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 истечении сроков представления оригиналов документов об образовании и (или) документов об образовании и о квалификации ректором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 </w:t>
      </w:r>
      <w:hyperlink r:id="rId29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ЕПГУ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 подтвердивших свое согласие на зачисление в Университет (филиал Университета) посредством функционала ЕПГУ, на основании электронного дубликата документа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 образовании и (или) документа об образовании и о квалификации. </w:t>
      </w:r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Приложением к приказу о зачислении является </w:t>
      </w:r>
      <w:proofErr w:type="spellStart"/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пофамильный</w:t>
      </w:r>
      <w:proofErr w:type="spellEnd"/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 перечень указанных лиц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Приказ с приложением размещается на следующий рабочий день после издания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на информационном стенде приемной комиссии и на официальном сайте </w:t>
      </w:r>
      <w:hyperlink r:id="rId30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https://www.bstu.ru/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В случае </w:t>
      </w:r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если численность поступающих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Университет (филиал Университета)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поступающими документах об образовании и (или) документах об образовании и о квалификации, результатов вступительных испытаний (при наличии), </w:t>
      </w:r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результатов индивидуальных достижений, сведения о которых </w:t>
      </w:r>
      <w:proofErr w:type="gramStart"/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поступающий</w:t>
      </w:r>
      <w:proofErr w:type="gramEnd"/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 xml:space="preserve"> вправе представить при приеме.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Лицам, указанным в </w:t>
      </w:r>
      <w:hyperlink r:id="rId31" w:tooltip="Федеральный закон от 29.12.2012 N 273-ФЗ (ред. от 28.12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пунктах 1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- </w:t>
      </w:r>
      <w:hyperlink r:id="rId32" w:tooltip="Федеральный закон от 29.12.2012 N 273-ФЗ (ред. от 28.12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13 части 7 статьи 71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Федерального закона "Об образовании в Российской Федерации", </w:t>
      </w:r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предоставляется преимущественное право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 зачисления в образовательную организацию на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обучение по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ind w:left="567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ind w:left="567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2) дети-инвалиды, инвалиды I и II групп;</w:t>
      </w:r>
    </w:p>
    <w:p w:rsidR="00A91022" w:rsidRPr="00A91022" w:rsidRDefault="00A91022" w:rsidP="00A91022">
      <w:pPr>
        <w:shd w:val="clear" w:color="auto" w:fill="F9FBFB"/>
        <w:spacing w:after="0" w:line="240" w:lineRule="auto"/>
        <w:ind w:left="567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 </w:t>
      </w:r>
      <w:hyperlink r:id="rId33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прожиточного минимума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 установленного в субъекте Российской Федерации по месту жительства указанных граждан;</w:t>
      </w:r>
    </w:p>
    <w:p w:rsidR="00A91022" w:rsidRPr="00A91022" w:rsidRDefault="00A91022" w:rsidP="00A91022">
      <w:pPr>
        <w:shd w:val="clear" w:color="auto" w:fill="F9FBFB"/>
        <w:spacing w:after="0" w:line="240" w:lineRule="auto"/>
        <w:ind w:left="567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 </w:t>
      </w:r>
      <w:hyperlink r:id="rId34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Закона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ind w:left="567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контртеррористических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операций и (или) иных мероприятий по борьбе с терроризмом;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ind w:left="567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ind w:left="567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ind w:left="567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ind w:left="567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9) военнослужащие, которые проходят военную службу по контракту и непрерывная продолжительность военной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службы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A91022" w:rsidRPr="00A91022" w:rsidRDefault="00A91022" w:rsidP="00A91022">
      <w:pPr>
        <w:shd w:val="clear" w:color="auto" w:fill="F9FBFB"/>
        <w:spacing w:after="0" w:line="240" w:lineRule="auto"/>
        <w:ind w:left="567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 </w:t>
      </w:r>
      <w:hyperlink r:id="rId35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подпунктами "б"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- </w:t>
      </w:r>
      <w:hyperlink r:id="rId36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"г" пункта 1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 </w:t>
      </w:r>
      <w:hyperlink r:id="rId37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подпунктом "а" пункта 2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и </w:t>
      </w:r>
      <w:hyperlink r:id="rId38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подпунктами "а"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- </w:t>
      </w:r>
      <w:hyperlink r:id="rId39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"в" пункта 3 статьи 51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Федерального закона от 28 марта 1998 года N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53-ФЗ "О воинской обязанности и военной службе";</w:t>
      </w:r>
    </w:p>
    <w:p w:rsidR="00A91022" w:rsidRPr="00A91022" w:rsidRDefault="00A91022" w:rsidP="00A91022">
      <w:pPr>
        <w:shd w:val="clear" w:color="auto" w:fill="F9FBFB"/>
        <w:spacing w:after="0" w:line="240" w:lineRule="auto"/>
        <w:ind w:left="567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11) инвалиды войны, участники боевых действий, а также ветераны боевых действий из числа лиц, указанных в </w:t>
      </w:r>
      <w:hyperlink r:id="rId40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подпунктах 1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- </w:t>
      </w:r>
      <w:hyperlink r:id="rId41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4 пункта 1 статьи 3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Федерального закона от 12 января 1995 года N 5-ФЗ "О ветеранах";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ind w:left="567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Федерации и федеральной противопожарной службы Государственной противопожарной службы);</w:t>
      </w:r>
      <w:proofErr w:type="gramEnd"/>
    </w:p>
    <w:p w:rsidR="00A91022" w:rsidRPr="00A91022" w:rsidRDefault="00A91022" w:rsidP="00A91022">
      <w:pPr>
        <w:shd w:val="clear" w:color="auto" w:fill="F9FBFB"/>
        <w:spacing w:after="300" w:line="240" w:lineRule="auto"/>
        <w:ind w:left="567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контртеррористических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операций на территории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Северо-Кавказского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региона.</w:t>
      </w:r>
      <w:proofErr w:type="gramEnd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Лицам, указанным в </w:t>
      </w:r>
      <w:hyperlink r:id="rId42" w:tooltip="Федеральный закон от 29.12.2012 N 273-ФЗ (ред. от 28.12.2024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части 5.1 статьи 71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 </w:t>
      </w:r>
      <w:r w:rsidRPr="00A91022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в первоочередном порядке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квалификации.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1) Герои Российской Федерации, лица, награжденные тремя орденами Мужества;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22" w:name="p1"/>
      <w:bookmarkEnd w:id="22"/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 </w:t>
      </w:r>
      <w:hyperlink r:id="rId43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пункте 6 статьи 1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 Федерального закона от 31 мая 1996 года N 61-ФЗ "Об обороне", при условии их участия в специальной военной операции на территориях 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Украины, Донецкой Народной Республики, Луганской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  <w:proofErr w:type="gramEnd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Российской Федерации, при условии их участия в специальной военной операции на указанных территориях;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23" w:name="p4"/>
      <w:bookmarkEnd w:id="23"/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  <w:proofErr w:type="gramEnd"/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5) дети лиц, указанных в </w:t>
      </w:r>
      <w:hyperlink r:id="rId44" w:anchor="p1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пунктах 2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- </w:t>
      </w:r>
      <w:hyperlink r:id="rId45" w:anchor="p4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4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настоящей части;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</w:t>
      </w: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боевых действиях при исполнении служебных обязанностей в этих государствах;</w:t>
      </w:r>
      <w:proofErr w:type="gramEnd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7) дети медицинских работников, умерших в результате инфицирования новой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коронавирусной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bookmarkStart w:id="24" w:name="sub_10443"/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Результаты освоения поступающими образовательной программы основного общего или среднего общего образования, </w:t>
      </w:r>
      <w:r w:rsidRPr="00A91022">
        <w:rPr>
          <w:rFonts w:ascii="Times New Roman" w:eastAsia="Times New Roman" w:hAnsi="Times New Roman"/>
          <w:b/>
          <w:bCs/>
          <w:color w:val="365D84"/>
          <w:sz w:val="28"/>
          <w:szCs w:val="28"/>
          <w:u w:val="single"/>
          <w:lang w:eastAsia="ru-RU"/>
        </w:rPr>
        <w:t>учитываются как средний балл всех предметов</w:t>
      </w:r>
      <w:r w:rsidRPr="00A91022">
        <w:rPr>
          <w:rFonts w:ascii="Times New Roman" w:eastAsia="Times New Roman" w:hAnsi="Times New Roman"/>
          <w:color w:val="365D84"/>
          <w:sz w:val="28"/>
          <w:szCs w:val="28"/>
          <w:u w:val="single"/>
          <w:bdr w:val="none" w:sz="0" w:space="0" w:color="auto" w:frame="1"/>
          <w:lang w:eastAsia="ru-RU"/>
        </w:rPr>
        <w:t> в представленных поступающими документах об образовании и (или) документах об образовании и о квалификации (далее средний балл).</w:t>
      </w:r>
      <w:bookmarkEnd w:id="24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45. При приеме на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обучение по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образовательным программам образовательной организацией учитываются следующие результаты индивидуальных достижений:</w:t>
      </w:r>
    </w:p>
    <w:p w:rsidR="00A91022" w:rsidRPr="00A91022" w:rsidRDefault="00A91022" w:rsidP="00A91022">
      <w:p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 </w:t>
      </w:r>
      <w:hyperlink r:id="rId46" w:tooltip="Постановление Правительства РФ от 17.11.2015 N 1239 (ред. от 18.09.2021) " w:history="1">
        <w:r w:rsidRPr="00A91022">
          <w:rPr>
            <w:rFonts w:ascii="Times New Roman" w:eastAsia="Times New Roman" w:hAnsi="Times New Roman"/>
            <w:color w:val="365D84"/>
            <w:sz w:val="28"/>
            <w:szCs w:val="28"/>
            <w:u w:val="single"/>
            <w:lang w:eastAsia="ru-RU"/>
          </w:rPr>
          <w:t>постановлением</w:t>
        </w:r>
      </w:hyperlink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Правительства Российской Федерации от 17 ноября 2015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г. N 1239 "Об утверждении Правил выявления детей, проявивших выдающиеся способности, сопровождения и мониторинга их дальнейшего развития";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Абилимпикс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";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3) 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АртМастерс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(Мастера Искусств)";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 xml:space="preserve">4) наличие у поступающего статуса чемпиона или призера Олимпийских игр,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Паралимпийских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игр и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Сурдлимпийских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Паралимпийских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игр и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Сурдлимпийских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игр;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Паралимпийских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игр и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Сурдлимпийских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игр.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  <w:proofErr w:type="gramEnd"/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Учет результатов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Портфолио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абитуриента осуществляется посредством начисления баллов за индивидуальные достижения, по которым может быть начислено не более 12 баллов суммарно.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Шкала перевода показателей индивидуальных достижений абитуриента (оценка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Портфолио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абитуриента):</w:t>
      </w:r>
    </w:p>
    <w:tbl>
      <w:tblPr>
        <w:tblW w:w="9810" w:type="dxa"/>
        <w:shd w:val="clear" w:color="auto" w:fill="F9FBFB"/>
        <w:tblCellMar>
          <w:left w:w="0" w:type="dxa"/>
          <w:right w:w="0" w:type="dxa"/>
        </w:tblCellMar>
        <w:tblLook w:val="04A0"/>
      </w:tblPr>
      <w:tblGrid>
        <w:gridCol w:w="1234"/>
        <w:gridCol w:w="4418"/>
        <w:gridCol w:w="2856"/>
        <w:gridCol w:w="1302"/>
      </w:tblGrid>
      <w:tr w:rsidR="00A91022" w:rsidRPr="00A91022" w:rsidTr="00A91022">
        <w:trPr>
          <w:trHeight w:val="82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0" w:line="240" w:lineRule="auto"/>
              <w:ind w:left="182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A91022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91022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/</w:t>
            </w:r>
            <w:proofErr w:type="spellStart"/>
            <w:r w:rsidRPr="00A91022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A91022" w:rsidRPr="00A91022" w:rsidRDefault="00A91022" w:rsidP="00A91022">
            <w:pPr>
              <w:spacing w:after="0" w:line="240" w:lineRule="auto"/>
              <w:ind w:left="1226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Наименование достижения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0" w:line="240" w:lineRule="auto"/>
              <w:ind w:left="451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Основание (предъявленные документы)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0" w:line="240" w:lineRule="auto"/>
              <w:ind w:left="116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b/>
                <w:bCs/>
                <w:color w:val="444444"/>
                <w:sz w:val="28"/>
                <w:szCs w:val="28"/>
                <w:lang w:eastAsia="ru-RU"/>
              </w:rPr>
              <w:t>Кол-во баллов</w:t>
            </w:r>
          </w:p>
        </w:tc>
      </w:tr>
      <w:tr w:rsidR="00A91022" w:rsidRPr="00A91022" w:rsidTr="00A91022">
        <w:trPr>
          <w:trHeight w:val="172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5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Наличие статуса победителя и призера в олимпиадах и иных интеллектуальных и (или) творческих           конкурсах,           мероприятиях, направленных на развитие интеллектуальных и творческих способностей, способностей к занятиям физической культуры и спортом.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132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Диплом победителя, призера, удостоверение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7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</w:tr>
      <w:tr w:rsidR="00A91022" w:rsidRPr="00A91022" w:rsidTr="00A91022">
        <w:trPr>
          <w:trHeight w:val="8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5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Наличие статуса победителя и призера чемпионата профессионального мастерства среди инвалидов и лиц с ОВЗ </w:t>
            </w:r>
            <w:r w:rsidRPr="00A91022">
              <w:rPr>
                <w:rFonts w:ascii="Times New Roman" w:eastAsia="Times New Roman" w:hAnsi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«</w:t>
            </w:r>
            <w:proofErr w:type="spellStart"/>
            <w:r w:rsidRPr="00A91022">
              <w:rPr>
                <w:rFonts w:ascii="Times New Roman" w:eastAsia="Times New Roman" w:hAnsi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Абилимпикс</w:t>
            </w:r>
            <w:proofErr w:type="spellEnd"/>
            <w:r w:rsidRPr="00A91022">
              <w:rPr>
                <w:rFonts w:ascii="Times New Roman" w:eastAsia="Times New Roman" w:hAnsi="Times New Roman"/>
                <w:b/>
                <w:bCs/>
                <w:i/>
                <w:iCs/>
                <w:color w:val="444444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944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Диплом победителя, призера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7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A91022" w:rsidRPr="00A91022" w:rsidTr="00A91022">
        <w:trPr>
          <w:trHeight w:val="19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5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наличие у поступающего статуса победителя или призера отборочного этапа или финала чемпионата по             профессиональному              мастерству</w:t>
            </w:r>
          </w:p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«Профессионалы», отборочного этапа или финала чемпионата высоких технологий, национального открытого чемпионата творческих компетенций</w:t>
            </w:r>
          </w:p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«</w:t>
            </w:r>
            <w:proofErr w:type="spellStart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АртМастерс</w:t>
            </w:r>
            <w:proofErr w:type="spellEnd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(Мастера Искусств)»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944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Диплом победителя, призера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7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A91022" w:rsidRPr="00A91022" w:rsidTr="00A91022">
        <w:trPr>
          <w:trHeight w:val="19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5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Наличие у поступающего статуса чемпиона или призера Олимпийских игр, </w:t>
            </w:r>
            <w:proofErr w:type="spellStart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Паралимпийских</w:t>
            </w:r>
            <w:proofErr w:type="spellEnd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игр и </w:t>
            </w:r>
            <w:proofErr w:type="spellStart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Сурдлимпийских</w:t>
            </w:r>
            <w:proofErr w:type="spellEnd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</w:t>
            </w:r>
          </w:p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игр, </w:t>
            </w:r>
            <w:proofErr w:type="spellStart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Паралимпийских</w:t>
            </w:r>
            <w:proofErr w:type="spellEnd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игр и </w:t>
            </w:r>
            <w:proofErr w:type="spellStart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Сурдлимпийских</w:t>
            </w:r>
            <w:proofErr w:type="spellEnd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игр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420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Документ, подтверждающий статус </w:t>
            </w:r>
            <w:proofErr w:type="gramStart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указанного</w:t>
            </w:r>
            <w:proofErr w:type="gramEnd"/>
          </w:p>
          <w:p w:rsidR="00A91022" w:rsidRPr="00A91022" w:rsidRDefault="00A91022" w:rsidP="00A91022">
            <w:pPr>
              <w:spacing w:after="300" w:line="240" w:lineRule="auto"/>
              <w:ind w:left="178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чемпиона или Призера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7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A91022" w:rsidRPr="00A91022" w:rsidTr="00A91022">
        <w:trPr>
          <w:trHeight w:val="165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5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Наличие у поступающего статуса чемпиона мира, чемпиона Европы, лица, занявшие первое место на первенстве мира, первенстве Европы по видам спорта, не включенным в программы призера Олимпийских игр, </w:t>
            </w:r>
            <w:proofErr w:type="spellStart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Паралимпийских</w:t>
            </w:r>
            <w:proofErr w:type="spellEnd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игр и </w:t>
            </w:r>
            <w:proofErr w:type="spellStart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Сурдлимпийских</w:t>
            </w:r>
            <w:proofErr w:type="spellEnd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игр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420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Документ, подтверждающий статус </w:t>
            </w:r>
            <w:proofErr w:type="gramStart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указанного</w:t>
            </w:r>
            <w:proofErr w:type="gramEnd"/>
          </w:p>
          <w:p w:rsidR="00A91022" w:rsidRPr="00A91022" w:rsidRDefault="00A91022" w:rsidP="00A91022">
            <w:pPr>
              <w:spacing w:after="300" w:line="240" w:lineRule="auto"/>
              <w:ind w:left="178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чемпиона или Призера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7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A91022" w:rsidRPr="00A91022" w:rsidTr="00A91022">
        <w:trPr>
          <w:trHeight w:val="304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5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</w:t>
            </w:r>
          </w:p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Республики, Луганской Народной Республики, Запорожской области и Херсонской области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141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Подтверждающий документ о</w:t>
            </w:r>
          </w:p>
          <w:p w:rsidR="00A91022" w:rsidRPr="00A91022" w:rsidRDefault="00A91022" w:rsidP="00A91022">
            <w:pPr>
              <w:spacing w:after="300" w:line="240" w:lineRule="auto"/>
              <w:ind w:left="141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прохождении</w:t>
            </w:r>
            <w:proofErr w:type="gramEnd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военной службы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7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A91022" w:rsidRPr="00A91022" w:rsidTr="00A91022">
        <w:trPr>
          <w:trHeight w:val="13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5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Наличие у поступающего опыта участия в добровольческой (волонтерской) деятельности,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141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подтверждение в </w:t>
            </w:r>
            <w:proofErr w:type="gramStart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единой</w:t>
            </w:r>
            <w:proofErr w:type="gramEnd"/>
          </w:p>
          <w:p w:rsidR="00A91022" w:rsidRPr="00A91022" w:rsidRDefault="00A91022" w:rsidP="00A91022">
            <w:pPr>
              <w:spacing w:after="300" w:line="240" w:lineRule="auto"/>
              <w:ind w:left="141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информационной системе в сфере развития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7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</w:tr>
      <w:tr w:rsidR="00A91022" w:rsidRPr="00A91022" w:rsidTr="00A91022">
        <w:trPr>
          <w:trHeight w:val="22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ind w:left="120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добровольчества (</w:t>
            </w:r>
            <w:proofErr w:type="spellStart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), </w:t>
            </w:r>
            <w:proofErr w:type="gramStart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указанной</w:t>
            </w:r>
            <w:proofErr w:type="gramEnd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 xml:space="preserve"> в ст.17 ФЗ от 11.08.1995 г. №135-ФЗ</w:t>
            </w:r>
          </w:p>
          <w:p w:rsidR="00A91022" w:rsidRPr="00A91022" w:rsidRDefault="00A91022" w:rsidP="00A91022">
            <w:pPr>
              <w:spacing w:after="300" w:line="240" w:lineRule="auto"/>
              <w:ind w:left="141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«О благотворительной деятельности и добровольчестве (</w:t>
            </w:r>
            <w:proofErr w:type="spellStart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волонтерстве</w:t>
            </w:r>
            <w:proofErr w:type="spellEnd"/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)».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B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91022" w:rsidRPr="00A91022" w:rsidRDefault="00A91022" w:rsidP="00A91022">
            <w:pPr>
              <w:spacing w:after="300" w:line="240" w:lineRule="auto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A91022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</w:tbl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        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         При равенстве среднего балла аттестата об основном общем образовании, в случае отсутствия у поступающего </w:t>
      </w:r>
      <w:proofErr w:type="spell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Портфолио</w:t>
      </w:r>
      <w:proofErr w:type="spell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абитуриента и Договора, преимущественным правом на зачисление пользуются поступающие, имеющие высокие оценки по профилирующим предметам: «математика», при равенстве балла по «Математике» рассматривается оценка по предмету «физика».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46.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47. </w:t>
      </w:r>
      <w:proofErr w:type="gramStart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случае зачисления в Университет (филиал Университета)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порталов государственных услуг обучающимся в течение месяца со дня издания приказа о его зачислении представляется в Университет (филиал Университета) оригинал документа об образовании и (или) документа об образовании и о квалификации и</w:t>
      </w:r>
      <w:proofErr w:type="gramEnd"/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4 фотографии.</w:t>
      </w:r>
    </w:p>
    <w:p w:rsidR="00A91022" w:rsidRPr="00A91022" w:rsidRDefault="00A91022" w:rsidP="00A91022">
      <w:p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A91022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48. Настоящие Правила вступают в силу с 01 марта 2025 года.</w:t>
      </w:r>
    </w:p>
    <w:p w:rsidR="00B01866" w:rsidRPr="00A91022" w:rsidRDefault="00B01866">
      <w:pPr>
        <w:rPr>
          <w:rFonts w:ascii="Times New Roman" w:hAnsi="Times New Roman"/>
          <w:sz w:val="28"/>
          <w:szCs w:val="28"/>
        </w:rPr>
      </w:pPr>
    </w:p>
    <w:sectPr w:rsidR="00B01866" w:rsidRPr="00A91022" w:rsidSect="00B0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CCB"/>
    <w:multiLevelType w:val="multilevel"/>
    <w:tmpl w:val="11A6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B5BBD"/>
    <w:multiLevelType w:val="multilevel"/>
    <w:tmpl w:val="3980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F4784"/>
    <w:multiLevelType w:val="multilevel"/>
    <w:tmpl w:val="EAB0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77C11"/>
    <w:multiLevelType w:val="multilevel"/>
    <w:tmpl w:val="E5F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73E01"/>
    <w:multiLevelType w:val="multilevel"/>
    <w:tmpl w:val="CF5A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55A38"/>
    <w:multiLevelType w:val="multilevel"/>
    <w:tmpl w:val="9A7C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987E3E"/>
    <w:multiLevelType w:val="multilevel"/>
    <w:tmpl w:val="B008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839A3"/>
    <w:multiLevelType w:val="multilevel"/>
    <w:tmpl w:val="9E1A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D0E0A"/>
    <w:multiLevelType w:val="multilevel"/>
    <w:tmpl w:val="9E2C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02353D"/>
    <w:multiLevelType w:val="multilevel"/>
    <w:tmpl w:val="5CD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90E7E"/>
    <w:multiLevelType w:val="multilevel"/>
    <w:tmpl w:val="4E38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022"/>
    <w:rsid w:val="00301EA3"/>
    <w:rsid w:val="00391DC2"/>
    <w:rsid w:val="004D162E"/>
    <w:rsid w:val="006476B7"/>
    <w:rsid w:val="00A91022"/>
    <w:rsid w:val="00B0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66"/>
  </w:style>
  <w:style w:type="paragraph" w:styleId="1">
    <w:name w:val="heading 1"/>
    <w:basedOn w:val="a"/>
    <w:link w:val="10"/>
    <w:uiPriority w:val="9"/>
    <w:qFormat/>
    <w:rsid w:val="00A91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1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022"/>
    <w:rPr>
      <w:rFonts w:ascii="Times New Roman" w:eastAsia="Times New Roman" w:hAnsi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022"/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102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1022"/>
    <w:rPr>
      <w:color w:val="0000FF"/>
      <w:u w:val="single"/>
    </w:rPr>
  </w:style>
  <w:style w:type="character" w:styleId="a5">
    <w:name w:val="Strong"/>
    <w:basedOn w:val="a0"/>
    <w:uiPriority w:val="22"/>
    <w:qFormat/>
    <w:rsid w:val="00A91022"/>
    <w:rPr>
      <w:b/>
      <w:bCs/>
    </w:rPr>
  </w:style>
  <w:style w:type="character" w:styleId="a6">
    <w:name w:val="Emphasis"/>
    <w:basedOn w:val="a0"/>
    <w:uiPriority w:val="20"/>
    <w:qFormat/>
    <w:rsid w:val="00A910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tu.ru/" TargetMode="External"/><Relationship Id="rId13" Type="http://schemas.openxmlformats.org/officeDocument/2006/relationships/hyperlink" Target="https://login.consultant.ru/link/?req=doc&amp;base=LAW&amp;n=494980&amp;date=14.02.2025&amp;dst=991&amp;field=134" TargetMode="External"/><Relationship Id="rId18" Type="http://schemas.openxmlformats.org/officeDocument/2006/relationships/hyperlink" Target="https://login.consultant.ru/link/?req=doc&amp;base=LAW&amp;n=494980&amp;date=14.02.2025&amp;dst=991&amp;field=134" TargetMode="External"/><Relationship Id="rId26" Type="http://schemas.openxmlformats.org/officeDocument/2006/relationships/hyperlink" Target="https://www.bstu.ru/abitur/spo/priemInf/DocLink" TargetMode="External"/><Relationship Id="rId39" Type="http://schemas.openxmlformats.org/officeDocument/2006/relationships/hyperlink" Target="https://login.consultant.ru/link/?req=doc&amp;base=LAW&amp;n=487135&amp;dst=100577&amp;field=134&amp;date=14.02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50768&amp;date=14.02.2025&amp;dst=100009&amp;field=134" TargetMode="External"/><Relationship Id="rId34" Type="http://schemas.openxmlformats.org/officeDocument/2006/relationships/hyperlink" Target="https://login.consultant.ru/link/?req=doc&amp;base=LAW&amp;n=470690&amp;date=14.02.2025" TargetMode="External"/><Relationship Id="rId42" Type="http://schemas.openxmlformats.org/officeDocument/2006/relationships/hyperlink" Target="https://login.consultant.ru/link/?req=doc&amp;base=LAW&amp;n=494980&amp;date=14.02.2025&amp;dst=873&amp;field=13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bstu.ru/" TargetMode="External"/><Relationship Id="rId12" Type="http://schemas.openxmlformats.org/officeDocument/2006/relationships/hyperlink" Target="https://login.consultant.ru/link/?req=doc&amp;base=LAW&amp;n=494980&amp;date=14.02.2025" TargetMode="External"/><Relationship Id="rId17" Type="http://schemas.openxmlformats.org/officeDocument/2006/relationships/hyperlink" Target="https://www.bstu.ru/abitur/spo/priemInf/DocLink" TargetMode="External"/><Relationship Id="rId25" Type="http://schemas.openxmlformats.org/officeDocument/2006/relationships/hyperlink" Target="mailto:pr_bgtu@mail.ru" TargetMode="External"/><Relationship Id="rId33" Type="http://schemas.openxmlformats.org/officeDocument/2006/relationships/hyperlink" Target="https://login.consultant.ru/link/?req=doc&amp;base=LAW&amp;n=407365&amp;dst=100001&amp;field=134&amp;date=14.02.2025" TargetMode="External"/><Relationship Id="rId38" Type="http://schemas.openxmlformats.org/officeDocument/2006/relationships/hyperlink" Target="https://login.consultant.ru/link/?req=doc&amp;base=LAW&amp;n=487135&amp;dst=100575&amp;field=134&amp;date=14.02.2025" TargetMode="External"/><Relationship Id="rId46" Type="http://schemas.openxmlformats.org/officeDocument/2006/relationships/hyperlink" Target="https://login.consultant.ru/link/?req=doc&amp;base=LAW&amp;n=396041&amp;date=14.02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stu.ru/abitur/spo/priemInf/DocLink" TargetMode="External"/><Relationship Id="rId20" Type="http://schemas.openxmlformats.org/officeDocument/2006/relationships/hyperlink" Target="https://login.consultant.ru/link/?req=doc&amp;base=LAW&amp;n=150768&amp;date=14.02.2025&amp;dst=100009&amp;field=134" TargetMode="External"/><Relationship Id="rId29" Type="http://schemas.openxmlformats.org/officeDocument/2006/relationships/hyperlink" Target="http://ivo.garant.ru/document/redirect/990941/2770" TargetMode="External"/><Relationship Id="rId41" Type="http://schemas.openxmlformats.org/officeDocument/2006/relationships/hyperlink" Target="https://login.consultant.ru/link/?req=doc&amp;base=LAW&amp;n=489340&amp;dst=100034&amp;field=134&amp;date=14.02.20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4980&amp;date=14.02.2025&amp;dst=172&amp;field=134" TargetMode="External"/><Relationship Id="rId11" Type="http://schemas.openxmlformats.org/officeDocument/2006/relationships/hyperlink" Target="https://login.consultant.ru/link/?req=doc&amp;base=LAW&amp;n=494980&amp;date=14.02.2025&amp;dst=101393&amp;field=134" TargetMode="External"/><Relationship Id="rId24" Type="http://schemas.openxmlformats.org/officeDocument/2006/relationships/hyperlink" Target="https://login.consultant.ru/link/?req=doc&amp;base=LAW&amp;n=483343&amp;date=14.02.2025" TargetMode="External"/><Relationship Id="rId32" Type="http://schemas.openxmlformats.org/officeDocument/2006/relationships/hyperlink" Target="https://login.consultant.ru/link/?req=doc&amp;base=LAW&amp;n=494980&amp;date=14.02.2025&amp;dst=101655&amp;field=134" TargetMode="External"/><Relationship Id="rId37" Type="http://schemas.openxmlformats.org/officeDocument/2006/relationships/hyperlink" Target="https://login.consultant.ru/link/?req=doc&amp;base=LAW&amp;n=487135&amp;dst=100569&amp;field=134&amp;date=14.02.2025" TargetMode="External"/><Relationship Id="rId40" Type="http://schemas.openxmlformats.org/officeDocument/2006/relationships/hyperlink" Target="https://login.consultant.ru/link/?req=doc&amp;base=LAW&amp;n=489340&amp;dst=100396&amp;field=134&amp;date=14.02.2025" TargetMode="External"/><Relationship Id="rId45" Type="http://schemas.openxmlformats.org/officeDocument/2006/relationships/hyperlink" Target="https://www.bstu.ru/abitur/spo/priemInf/DocLink" TargetMode="External"/><Relationship Id="rId5" Type="http://schemas.openxmlformats.org/officeDocument/2006/relationships/hyperlink" Target="https://login.consultant.ru/link/?req=doc&amp;base=LAW&amp;n=494980&amp;date=14.02.2025" TargetMode="External"/><Relationship Id="rId15" Type="http://schemas.openxmlformats.org/officeDocument/2006/relationships/hyperlink" Target="https://login.consultant.ru/link/?req=doc&amp;base=LAW&amp;n=482667&amp;date=14.02.2025&amp;dst=17&amp;field=134" TargetMode="External"/><Relationship Id="rId23" Type="http://schemas.openxmlformats.org/officeDocument/2006/relationships/hyperlink" Target="https://login.consultant.ru/link/?req=doc&amp;base=LAW&amp;n=483355&amp;date=14.02.2025" TargetMode="External"/><Relationship Id="rId28" Type="http://schemas.openxmlformats.org/officeDocument/2006/relationships/hyperlink" Target="http://ivo.garant.ru/document/redirect/990941/2770" TargetMode="External"/><Relationship Id="rId36" Type="http://schemas.openxmlformats.org/officeDocument/2006/relationships/hyperlink" Target="https://login.consultant.ru/link/?req=doc&amp;base=LAW&amp;n=487135&amp;dst=100690&amp;field=134&amp;date=14.02.2025" TargetMode="External"/><Relationship Id="rId10" Type="http://schemas.openxmlformats.org/officeDocument/2006/relationships/hyperlink" Target="https://login.consultant.ru/link/?req=doc&amp;base=LAW&amp;n=494980&amp;date=14.02.2025&amp;dst=991&amp;field=134" TargetMode="External"/><Relationship Id="rId19" Type="http://schemas.openxmlformats.org/officeDocument/2006/relationships/hyperlink" Target="https://login.consultant.ru/link/?req=doc&amp;base=LAW&amp;n=150768&amp;date=14.02.2025&amp;dst=100009&amp;field=134" TargetMode="External"/><Relationship Id="rId31" Type="http://schemas.openxmlformats.org/officeDocument/2006/relationships/hyperlink" Target="https://login.consultant.ru/link/?req=doc&amp;base=LAW&amp;n=494980&amp;date=14.02.2025&amp;dst=100952&amp;field=134" TargetMode="External"/><Relationship Id="rId44" Type="http://schemas.openxmlformats.org/officeDocument/2006/relationships/hyperlink" Target="https://www.bstu.ru/abitur/spo/priemInf/Doc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80&amp;date=14.02.2025&amp;dst=991&amp;field=134" TargetMode="External"/><Relationship Id="rId14" Type="http://schemas.openxmlformats.org/officeDocument/2006/relationships/hyperlink" Target="https://login.consultant.ru/link/?req=doc&amp;base=LAW&amp;n=483243&amp;date=14.02.2025&amp;dst=100365&amp;field=134" TargetMode="External"/><Relationship Id="rId22" Type="http://schemas.openxmlformats.org/officeDocument/2006/relationships/hyperlink" Target="https://login.consultant.ru/link/?req=doc&amp;base=LAW&amp;n=494998&amp;date=14.02.2025" TargetMode="External"/><Relationship Id="rId27" Type="http://schemas.openxmlformats.org/officeDocument/2006/relationships/hyperlink" Target="https://www.bstu.ru/abitur/spo/priemInf/DocLink" TargetMode="External"/><Relationship Id="rId30" Type="http://schemas.openxmlformats.org/officeDocument/2006/relationships/hyperlink" Target="https://www.bstu.ru/" TargetMode="External"/><Relationship Id="rId35" Type="http://schemas.openxmlformats.org/officeDocument/2006/relationships/hyperlink" Target="https://login.consultant.ru/link/?req=doc&amp;base=LAW&amp;n=487135&amp;dst=100561&amp;field=134&amp;date=14.02.2025" TargetMode="External"/><Relationship Id="rId43" Type="http://schemas.openxmlformats.org/officeDocument/2006/relationships/hyperlink" Target="https://login.consultant.ru/link/?req=doc&amp;base=LAW&amp;n=494439&amp;dst=100339&amp;field=134&amp;date=14.02.202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7779</Words>
  <Characters>44341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2025-05-06T05:09:00Z</dcterms:created>
  <dcterms:modified xsi:type="dcterms:W3CDTF">2025-05-06T05:09:00Z</dcterms:modified>
</cp:coreProperties>
</file>